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исполнения бюджет</w:t>
      </w:r>
      <w:bookmarkStart w:id="0" w:name="_GoBack"/>
      <w:r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а по доходам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8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Тюменской области за 1 квартал 2026 года.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68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Актуальные вопросы по учету и распределению доходов</w:t>
      </w:r>
      <w:r>
        <w:rPr>
          <w:rFonts w:ascii="Times New Roman" w:hAnsi="Times New Roman" w:cs="Times New Roman"/>
          <w:b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pStyle w:val="68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68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Итогами исполнения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бюджетов бюджетной системы Российской Федерации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доходам на территории Тюменской области за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квартал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являются следующие показатели: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:lang w:eastAsia="ru-RU"/>
        </w:rPr>
        <w:t xml:space="preserve">Объем поступлений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в бюджеты бюджетной системы Российской Федерации на территории Тюменской области на 01.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04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.202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составил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102,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млрд. руб.,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 в том числе: в федеральный бюджет – 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2,7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 млрд. руб. или 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3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% от общего объема поступлений; в бюджеты государственных внебюджетных фондов – 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4,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 млрд. рублей или 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,5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% от общего объема поступлений; в бюджет субъекта – 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 млрд. рублей или 4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1,6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% от общего объема поступлений в бюджетную систему Российской Федерации; в местные бюджеты – 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5,4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 млрд. рублей или 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5,5</w:t>
      </w:r>
      <w:r>
        <w:rPr>
          <w:rFonts w:ascii="Times New Roman" w:hAnsi="Times New Roman" w:eastAsia="TimesNewRoman" w:cs="Times New Roman"/>
          <w:color w:val="000000" w:themeColor="text1"/>
          <w:sz w:val="28"/>
          <w:szCs w:val="28"/>
          <w:lang w:eastAsia="ru-RU"/>
        </w:rPr>
        <w:t xml:space="preserve">% от общего объема поступлений в бюджетную систему Российской Федерации.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NewRoman" w:cs="Times New Roman"/>
          <w:sz w:val="28"/>
          <w:szCs w:val="28"/>
        </w:rPr>
      </w:pPr>
      <w:r>
        <w:rPr>
          <w:rFonts w:ascii="Times New Roman" w:hAnsi="Times New Roman" w:eastAsia="TimesNewRoman" w:cs="Times New Roman"/>
          <w:sz w:val="28"/>
          <w:szCs w:val="28"/>
        </w:rPr>
        <w:t xml:space="preserve">Основными источниками формирования доходов бюджетов бюджетной системы Российской Федерации на территории Тюменской области 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являются 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налог на доходы физических лиц (1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4%), </w:t>
      </w:r>
      <w:r>
        <w:rPr>
          <w:rFonts w:ascii="Times New Roman" w:hAnsi="Times New Roman" w:cs="Times New Roman"/>
          <w:sz w:val="28"/>
          <w:szCs w:val="28"/>
        </w:rPr>
        <w:t xml:space="preserve">налог на прибыль</w:t>
      </w:r>
      <w:r>
        <w:rPr>
          <w:rFonts w:ascii="Times New Roman" w:hAnsi="Times New Roman" w:cs="Times New Roman"/>
          <w:sz w:val="28"/>
          <w:szCs w:val="28"/>
        </w:rPr>
        <w:t xml:space="preserve"> (10</w:t>
      </w:r>
      <w:r>
        <w:rPr>
          <w:rFonts w:ascii="Times New Roman" w:hAnsi="Times New Roman" w:cs="Times New Roman"/>
          <w:sz w:val="28"/>
          <w:szCs w:val="28"/>
        </w:rPr>
        <w:t xml:space="preserve">%) и</w:t>
      </w:r>
      <w:r>
        <w:rPr>
          <w:rFonts w:ascii="Times New Roman" w:hAnsi="Times New Roman" w:cs="Times New Roman"/>
          <w:sz w:val="28"/>
          <w:szCs w:val="28"/>
        </w:rPr>
        <w:t xml:space="preserve"> налог на имущество организаций (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3,5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%)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New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о отношению к аналогичному периоду прошлого года 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аблюдается рост поступлений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налог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у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 на доходы физических лиц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 (+17,6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NewRoman" w:cs="Times New Roman"/>
          <w:color w:val="000000"/>
          <w:sz w:val="28"/>
          <w:szCs w:val="28"/>
        </w:rPr>
        <w:t xml:space="preserve">%)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налогу на имущество организаций (+7,3%), 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а также </w:t>
      </w:r>
      <w:r>
        <w:rPr>
          <w:rFonts w:ascii="Times New Roman" w:hAnsi="Times New Roman" w:eastAsia="TimesNewRoman" w:cs="Times New Roman"/>
          <w:sz w:val="28"/>
          <w:szCs w:val="28"/>
        </w:rPr>
        <w:t xml:space="preserve">земельному налогу (+4,9%)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Правилами зачисления средств, полученных от размещения временно свободных средств единог</w:t>
      </w:r>
      <w:r>
        <w:rPr>
          <w:rFonts w:ascii="Times New Roman" w:hAnsi="Times New Roman" w:cs="Times New Roman"/>
          <w:sz w:val="28"/>
          <w:szCs w:val="28"/>
        </w:rPr>
        <w:t xml:space="preserve">о казначейского счета, утвержденными постановлением Правительства Российской Федерации от 11.07.2020 № 1020, в 1 квартале 2026 года в бюджет Тюменской области зачислены доходы от операций по управлению остатками средств на ЕКС в общей сумме 107 750 524,16 руб.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Сумма невыясненных поступлений, зачисляемых в федеральный бюджет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(далее – НВП)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состоянию на 01.0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составила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млн. руб., в том числе за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млн. руб.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по сравнению с аналогичным периодом прошлого года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снизилась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раза (общий объем НВП на 01.04.202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составлял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41,7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млн.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руб.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т.ч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за 2025 год 19,7 млн. руб.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Управлением в целях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сокращени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объема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НВП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проводятся следующие мероприятия: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постоянный</w:t>
      </w:r>
      <w:r>
        <w:rPr>
          <w:rFonts w:ascii="Times New Roman" w:hAnsi="Times New Roman" w:cs="Times New Roman"/>
          <w:sz w:val="28"/>
          <w:szCs w:val="28"/>
        </w:rPr>
        <w:t xml:space="preserve"> мониторинг </w:t>
      </w:r>
      <w:r>
        <w:rPr>
          <w:rFonts w:ascii="Times New Roman" w:hAnsi="Times New Roman" w:cs="Times New Roman"/>
          <w:sz w:val="28"/>
          <w:szCs w:val="28"/>
        </w:rPr>
        <w:t xml:space="preserve">НВП;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направление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адрес администраторов доходов запросов на вы</w:t>
      </w:r>
      <w:r>
        <w:rPr>
          <w:rFonts w:ascii="Times New Roman" w:hAnsi="Times New Roman" w:cs="Times New Roman"/>
          <w:sz w:val="28"/>
          <w:szCs w:val="28"/>
        </w:rPr>
        <w:t xml:space="preserve">яснение принадлежности платежа</w:t>
      </w:r>
      <w:r>
        <w:rPr>
          <w:rFonts w:ascii="Times New Roman" w:hAnsi="Times New Roman" w:cs="Times New Roman"/>
          <w:sz w:val="28"/>
          <w:szCs w:val="28"/>
        </w:rPr>
        <w:t xml:space="preserve"> (в 1 кв. 2026 года направлено 28,7 тыс. Запросов);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ежедневная работа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администраторами доходов, направленная на уточнение </w:t>
      </w:r>
      <w:r>
        <w:rPr>
          <w:rFonts w:ascii="Times New Roman" w:hAnsi="Times New Roman" w:cs="Times New Roman"/>
          <w:sz w:val="28"/>
          <w:szCs w:val="28"/>
        </w:rPr>
        <w:t xml:space="preserve">НВП, поступивших по банковской выписке за обрабатываемый операционный день;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НВП</w:t>
      </w:r>
      <w:r>
        <w:rPr>
          <w:rFonts w:ascii="Times New Roman" w:hAnsi="Times New Roman" w:cs="Times New Roman"/>
          <w:sz w:val="28"/>
          <w:szCs w:val="28"/>
        </w:rPr>
        <w:t xml:space="preserve">, получателями которых являются клиенты Управления, с отсутствующими полномочиями администратора доходов,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п. 21 Порядка №172н </w:t>
      </w:r>
      <w:r>
        <w:rPr>
          <w:rFonts w:ascii="Times New Roman" w:hAnsi="Times New Roman" w:cs="Times New Roman"/>
          <w:sz w:val="28"/>
          <w:szCs w:val="28"/>
        </w:rPr>
        <w:t xml:space="preserve">разъясн</w:t>
      </w:r>
      <w:r>
        <w:rPr>
          <w:rFonts w:ascii="Times New Roman" w:hAnsi="Times New Roman" w:cs="Times New Roman"/>
          <w:sz w:val="28"/>
          <w:szCs w:val="28"/>
        </w:rPr>
        <w:t xml:space="preserve">яется </w:t>
      </w:r>
      <w:r>
        <w:rPr>
          <w:rFonts w:ascii="Times New Roman" w:hAnsi="Times New Roman" w:cs="Times New Roman"/>
          <w:sz w:val="28"/>
          <w:szCs w:val="28"/>
        </w:rPr>
        <w:t xml:space="preserve">поряд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к возврата денежных средс</w:t>
      </w:r>
      <w:r>
        <w:rPr>
          <w:rFonts w:ascii="Times New Roman" w:hAnsi="Times New Roman" w:cs="Times New Roman"/>
          <w:sz w:val="28"/>
          <w:szCs w:val="28"/>
        </w:rPr>
        <w:t xml:space="preserve">тв;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НВП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которых отказались все предполагаемые администраторы поступлений в бюджеты, осуществля</w:t>
      </w:r>
      <w:r>
        <w:rPr>
          <w:rFonts w:ascii="Times New Roman" w:hAnsi="Times New Roman" w:cs="Times New Roman"/>
          <w:sz w:val="28"/>
          <w:szCs w:val="28"/>
        </w:rPr>
        <w:t xml:space="preserve">ется</w:t>
      </w:r>
      <w:r>
        <w:rPr>
          <w:rFonts w:ascii="Times New Roman" w:hAnsi="Times New Roman" w:cs="Times New Roman"/>
          <w:sz w:val="28"/>
          <w:szCs w:val="28"/>
        </w:rPr>
        <w:t xml:space="preserve"> розыск плательщиков для разъяснения</w:t>
      </w:r>
      <w:r>
        <w:rPr>
          <w:rFonts w:ascii="Times New Roman" w:hAnsi="Times New Roman" w:cs="Times New Roman"/>
          <w:sz w:val="28"/>
          <w:szCs w:val="28"/>
        </w:rPr>
        <w:t xml:space="preserve"> порядка возврата денежных средств в соответствии с п.</w:t>
      </w:r>
      <w:r>
        <w:rPr>
          <w:rFonts w:ascii="Times New Roman" w:hAnsi="Times New Roman" w:cs="Times New Roman"/>
          <w:sz w:val="28"/>
          <w:szCs w:val="28"/>
        </w:rPr>
        <w:t xml:space="preserve"> 20 Порядка №172н.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Порядк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№ 172н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НВП</w:t>
      </w:r>
      <w:r>
        <w:rPr>
          <w:rFonts w:ascii="Times New Roman" w:hAnsi="Times New Roman" w:cs="Times New Roman"/>
          <w:sz w:val="28"/>
          <w:szCs w:val="28"/>
        </w:rPr>
        <w:t xml:space="preserve">, по которым не осуществлен возврат (уточнение) по истечении трех лет со дня их зачисления на единый счет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бюджета, </w:t>
      </w:r>
      <w:r>
        <w:rPr>
          <w:rFonts w:ascii="Times New Roman" w:hAnsi="Times New Roman" w:cs="Times New Roman"/>
          <w:sz w:val="28"/>
          <w:szCs w:val="28"/>
        </w:rPr>
        <w:t xml:space="preserve">отражены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коду бюджетной классификации, предусмотренному для учета прочих неналоговых доходов федерального бюджета, </w:t>
      </w:r>
      <w:r>
        <w:rPr>
          <w:rFonts w:ascii="Times New Roman" w:hAnsi="Times New Roman" w:cs="Times New Roman"/>
          <w:sz w:val="28"/>
          <w:szCs w:val="28"/>
        </w:rPr>
        <w:t xml:space="preserve">в сумме 928 266,09 руб., </w:t>
      </w:r>
      <w:r>
        <w:rPr>
          <w:rFonts w:ascii="Times New Roman" w:hAnsi="Times New Roman" w:cs="Times New Roman"/>
          <w:sz w:val="28"/>
          <w:szCs w:val="28"/>
        </w:rPr>
        <w:t xml:space="preserve">вследствие чего стали не доступны для во</w:t>
      </w:r>
      <w:r>
        <w:rPr>
          <w:rFonts w:ascii="Times New Roman" w:hAnsi="Times New Roman" w:cs="Times New Roman"/>
          <w:sz w:val="28"/>
          <w:szCs w:val="28"/>
        </w:rPr>
        <w:t xml:space="preserve">зврата и уточнения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</w:t>
      </w:r>
      <w:r>
        <w:rPr>
          <w:rFonts w:ascii="Times New Roman" w:hAnsi="Times New Roman" w:cs="Times New Roman"/>
          <w:sz w:val="28"/>
          <w:szCs w:val="28"/>
        </w:rPr>
        <w:t xml:space="preserve"> 8 Федерального закона «О национальной платежной системе» от 27.07.2011 № 161-ФЗ установлено, что распоряжение клиента должно содержать информацию, позволяющую осуществить перевод денежных средств в рамках применяемых форм безналичных расчетов, при этом  р</w:t>
      </w:r>
      <w:r>
        <w:rPr>
          <w:rFonts w:ascii="Times New Roman" w:hAnsi="Times New Roman" w:cs="Times New Roman"/>
          <w:sz w:val="28"/>
          <w:szCs w:val="28"/>
        </w:rPr>
        <w:t xml:space="preserve">еквизиты перевода, необходимые для идентификации платежей, явля</w:t>
      </w:r>
      <w:r>
        <w:rPr>
          <w:rFonts w:ascii="Times New Roman" w:hAnsi="Times New Roman" w:cs="Times New Roman"/>
          <w:sz w:val="28"/>
          <w:szCs w:val="28"/>
        </w:rPr>
        <w:t xml:space="preserve">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выполнение работ, оказание услуг автономными учреждениями, </w:t>
      </w:r>
      <w:r>
        <w:rPr>
          <w:rFonts w:ascii="Times New Roman" w:hAnsi="Times New Roman" w:cs="Times New Roman"/>
          <w:sz w:val="28"/>
          <w:szCs w:val="28"/>
        </w:rPr>
        <w:t xml:space="preserve">описание таких реквизитов перевода, правила их указания в распоряжении клиента и форма распоряжения клиента - физического лица для осуществления указанных платежей устанавливаются Министерством финансов Российской Федерации по согласованию с Банком России.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</w:t>
      </w:r>
      <w:r>
        <w:rPr>
          <w:rFonts w:ascii="Times New Roman" w:hAnsi="Times New Roman" w:cs="Times New Roman"/>
          <w:sz w:val="28"/>
          <w:szCs w:val="28"/>
        </w:rPr>
        <w:t xml:space="preserve">истерством финансов </w:t>
      </w:r>
      <w:r>
        <w:rPr>
          <w:rFonts w:ascii="Times New Roman" w:hAnsi="Times New Roman" w:cs="Times New Roman"/>
          <w:sz w:val="28"/>
          <w:szCs w:val="28"/>
        </w:rPr>
        <w:t xml:space="preserve">Росси</w:t>
      </w:r>
      <w:r>
        <w:rPr>
          <w:rFonts w:ascii="Times New Roman" w:hAnsi="Times New Roman" w:cs="Times New Roman"/>
          <w:sz w:val="28"/>
          <w:szCs w:val="28"/>
        </w:rPr>
        <w:t xml:space="preserve">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утверждены</w:t>
      </w:r>
      <w:r>
        <w:rPr>
          <w:rFonts w:ascii="Times New Roman" w:hAnsi="Times New Roman" w:cs="Times New Roman"/>
          <w:sz w:val="28"/>
          <w:szCs w:val="28"/>
        </w:rPr>
        <w:t xml:space="preserve"> новые правила заполнения </w:t>
      </w:r>
      <w:r>
        <w:rPr>
          <w:rFonts w:ascii="Times New Roman" w:hAnsi="Times New Roman" w:cs="Times New Roman"/>
          <w:sz w:val="28"/>
          <w:szCs w:val="28"/>
        </w:rPr>
        <w:t xml:space="preserve">платежных документов</w:t>
      </w:r>
      <w:r>
        <w:rPr>
          <w:rFonts w:ascii="Times New Roman" w:hAnsi="Times New Roman" w:cs="Times New Roman"/>
          <w:sz w:val="28"/>
          <w:szCs w:val="28"/>
        </w:rPr>
        <w:t xml:space="preserve">, составленные в виде таблицы с полным перечнем реквизитов и </w:t>
      </w:r>
      <w:r>
        <w:rPr>
          <w:rFonts w:ascii="Times New Roman" w:hAnsi="Times New Roman" w:cs="Times New Roman"/>
          <w:sz w:val="28"/>
          <w:szCs w:val="28"/>
        </w:rPr>
        <w:t xml:space="preserve">правилами</w:t>
      </w:r>
      <w:r>
        <w:rPr>
          <w:rFonts w:ascii="Times New Roman" w:hAnsi="Times New Roman" w:cs="Times New Roman"/>
          <w:sz w:val="28"/>
          <w:szCs w:val="28"/>
        </w:rPr>
        <w:t xml:space="preserve"> по их заполнению.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Минфина России от 16.05.2025 № 58н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Информации, позволяющей осуществить перевод денежных средств в рамках применяемых форм безнали</w:t>
      </w:r>
      <w:r>
        <w:rPr>
          <w:rFonts w:ascii="Times New Roman" w:hAnsi="Times New Roman" w:cs="Times New Roman"/>
          <w:sz w:val="28"/>
          <w:szCs w:val="28"/>
        </w:rPr>
        <w:t xml:space="preserve">чных расчетов, необходимой для идентификации платежей, 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казначейства, платежей за </w:t>
      </w:r>
      <w:r>
        <w:rPr>
          <w:rFonts w:ascii="Times New Roman" w:hAnsi="Times New Roman" w:cs="Times New Roman"/>
          <w:sz w:val="28"/>
          <w:szCs w:val="28"/>
        </w:rPr>
        <w:t xml:space="preserve">выполнение работ, оказание услуг автономными учреждениями, описания такой информации, Правил ее указания в распоряжении клиента, Правил кодирования такой информации, а также формы распоряжения клиента - физического лица для осуществления указанных платежей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это самый масштабный пересмотр правил заполнения платежных поручений за последние годы, </w:t>
      </w:r>
      <w:r>
        <w:rPr>
          <w:rFonts w:ascii="Times New Roman" w:hAnsi="Times New Roman" w:cs="Times New Roman"/>
          <w:sz w:val="28"/>
          <w:szCs w:val="28"/>
        </w:rPr>
        <w:t xml:space="preserve">который</w:t>
      </w:r>
      <w:r>
        <w:rPr>
          <w:rFonts w:ascii="Times New Roman" w:hAnsi="Times New Roman" w:cs="Times New Roman"/>
          <w:sz w:val="28"/>
          <w:szCs w:val="28"/>
        </w:rPr>
        <w:t xml:space="preserve"> заменил </w:t>
      </w:r>
      <w:r>
        <w:rPr>
          <w:rFonts w:ascii="Times New Roman" w:hAnsi="Times New Roman" w:cs="Times New Roman"/>
          <w:sz w:val="28"/>
          <w:szCs w:val="28"/>
        </w:rPr>
        <w:t xml:space="preserve">собой прежн</w:t>
      </w:r>
      <w:r>
        <w:rPr>
          <w:rFonts w:ascii="Times New Roman" w:hAnsi="Times New Roman" w:cs="Times New Roman"/>
          <w:sz w:val="28"/>
          <w:szCs w:val="28"/>
        </w:rPr>
        <w:t xml:space="preserve">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Правила</w:t>
      </w:r>
      <w:r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утвержденные</w:t>
      </w:r>
      <w:r>
        <w:rPr>
          <w:rFonts w:ascii="Times New Roman" w:hAnsi="Times New Roman" w:cs="Times New Roman"/>
          <w:sz w:val="28"/>
          <w:szCs w:val="28"/>
        </w:rPr>
        <w:t xml:space="preserve"> приказом Минфина от 12.11.2013 № 107н.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вышеизложенным, особое внимание</w:t>
      </w:r>
      <w:r>
        <w:rPr>
          <w:rFonts w:ascii="Times New Roman" w:hAnsi="Times New Roman" w:cs="Times New Roman"/>
          <w:sz w:val="28"/>
          <w:szCs w:val="28"/>
        </w:rPr>
        <w:t xml:space="preserve"> плательщиков </w:t>
      </w:r>
      <w:r>
        <w:rPr>
          <w:rFonts w:ascii="Times New Roman" w:hAnsi="Times New Roman" w:cs="Times New Roman"/>
          <w:sz w:val="28"/>
          <w:szCs w:val="28"/>
        </w:rPr>
        <w:t xml:space="preserve">хочется обратить </w:t>
      </w:r>
      <w:r>
        <w:rPr>
          <w:rFonts w:ascii="Times New Roman" w:hAnsi="Times New Roman" w:cs="Times New Roman"/>
          <w:sz w:val="28"/>
          <w:szCs w:val="28"/>
        </w:rPr>
        <w:t xml:space="preserve">на необходимость соблюдения правил указания информации и использование актуальных реквизитов при переводе денежных средств, </w:t>
      </w:r>
      <w:r>
        <w:rPr>
          <w:rFonts w:ascii="Times New Roman" w:hAnsi="Times New Roman" w:cs="Times New Roman"/>
          <w:sz w:val="28"/>
          <w:szCs w:val="28"/>
        </w:rPr>
        <w:t xml:space="preserve">являющихся источниками формирования доходов бюджетов бюджетной системы Российской Федерации, иных платежей, поступающих на казначейские счета, открытые в органах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8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доходов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УФК по Тюменской области                                                                       И.А. Головчиц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705955658"/>
      <w:docPartObj>
        <w:docPartGallery w:val="Page Numbers (Top of Page)"/>
        <w:docPartUnique w:val="true"/>
      </w:docPartObj>
      <w:rPr/>
    </w:sdtPr>
    <w:sdtContent>
      <w:p>
        <w:pPr>
          <w:pStyle w:val="68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68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7"/>
    <w:uiPriority w:val="34"/>
    <w:qFormat/>
    <w:pPr>
      <w:contextualSpacing/>
      <w:ind w:left="720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8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8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8"/>
    <w:link w:val="683"/>
    <w:uiPriority w:val="99"/>
  </w:style>
  <w:style w:type="character" w:styleId="45">
    <w:name w:val="Footer Char"/>
    <w:basedOn w:val="678"/>
    <w:link w:val="685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7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8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8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</w:style>
  <w:style w:type="character" w:styleId="678" w:default="1">
    <w:name w:val="Default Paragraph Font"/>
    <w:uiPriority w:val="1"/>
    <w:semiHidden/>
    <w:unhideWhenUsed/>
  </w:style>
  <w:style w:type="table" w:styleId="6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0" w:default="1">
    <w:name w:val="No List"/>
    <w:uiPriority w:val="99"/>
    <w:semiHidden/>
    <w:unhideWhenUsed/>
  </w:style>
  <w:style w:type="paragraph" w:styleId="681">
    <w:name w:val="No Spacing"/>
    <w:uiPriority w:val="1"/>
    <w:qFormat/>
    <w:pPr>
      <w:spacing w:after="0" w:line="240" w:lineRule="auto"/>
    </w:pPr>
  </w:style>
  <w:style w:type="character" w:styleId="682">
    <w:name w:val="Hyperlink"/>
    <w:uiPriority w:val="99"/>
    <w:unhideWhenUsed/>
    <w:rPr>
      <w:color w:val="0000ff"/>
      <w:u w:val="single"/>
    </w:rPr>
  </w:style>
  <w:style w:type="paragraph" w:styleId="683">
    <w:name w:val="Header"/>
    <w:basedOn w:val="677"/>
    <w:link w:val="6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4" w:customStyle="1">
    <w:name w:val="Верхний колонтитул Знак"/>
    <w:basedOn w:val="678"/>
    <w:link w:val="683"/>
    <w:uiPriority w:val="99"/>
  </w:style>
  <w:style w:type="paragraph" w:styleId="685">
    <w:name w:val="Footer"/>
    <w:basedOn w:val="677"/>
    <w:link w:val="6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6" w:customStyle="1">
    <w:name w:val="Нижний колонтитул Знак"/>
    <w:basedOn w:val="678"/>
    <w:link w:val="685"/>
    <w:uiPriority w:val="99"/>
  </w:style>
  <w:style w:type="paragraph" w:styleId="687">
    <w:name w:val="Balloon Text"/>
    <w:basedOn w:val="677"/>
    <w:link w:val="68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88" w:customStyle="1">
    <w:name w:val="Текст выноски Знак"/>
    <w:basedOn w:val="678"/>
    <w:link w:val="687"/>
    <w:uiPriority w:val="99"/>
    <w:semiHidden/>
    <w:rPr>
      <w:rFonts w:ascii="Segoe UI" w:hAnsi="Segoe UI" w:cs="Segoe UI"/>
      <w:sz w:val="18"/>
      <w:szCs w:val="18"/>
    </w:rPr>
  </w:style>
  <w:style w:type="paragraph" w:styleId="689">
    <w:name w:val="Body Text"/>
    <w:basedOn w:val="677"/>
    <w:link w:val="690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690" w:customStyle="1">
    <w:name w:val="Основной текст Знак"/>
    <w:basedOn w:val="678"/>
    <w:link w:val="689"/>
    <w:rPr>
      <w:rFonts w:ascii="Times New Roman" w:hAnsi="Times New Roman" w:eastAsia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УФК 67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Аноним</cp:lastModifiedBy>
  <cp:revision>11</cp:revision>
  <dcterms:created xsi:type="dcterms:W3CDTF">2026-04-13T06:48:00Z</dcterms:created>
  <dcterms:modified xsi:type="dcterms:W3CDTF">2026-04-16T08:39:52Z</dcterms:modified>
</cp:coreProperties>
</file>